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E7" w:rsidRDefault="00222BD8">
      <w:r>
        <w:t xml:space="preserve">PLAN DE TRAVAIL </w:t>
      </w:r>
      <w:r w:rsidR="004418E8">
        <w:t>CE2</w:t>
      </w:r>
    </w:p>
    <w:p w:rsidR="004418E8" w:rsidRPr="00CC4A29" w:rsidRDefault="00CC4A29" w:rsidP="00CC4A29">
      <w:pPr>
        <w:jc w:val="center"/>
        <w:rPr>
          <w:rFonts w:ascii="Arial Black" w:hAnsi="Arial Black"/>
        </w:rPr>
      </w:pPr>
      <w:r>
        <w:rPr>
          <w:rFonts w:ascii="Arial Black" w:hAnsi="Arial Black"/>
        </w:rPr>
        <w:t>J</w:t>
      </w:r>
      <w:r w:rsidR="00076536" w:rsidRPr="00CC4A29">
        <w:rPr>
          <w:rFonts w:ascii="Arial Black" w:hAnsi="Arial Black"/>
        </w:rPr>
        <w:t>eudi 19</w:t>
      </w:r>
      <w:r w:rsidR="004418E8" w:rsidRPr="00CC4A29">
        <w:rPr>
          <w:rFonts w:ascii="Arial Black" w:hAnsi="Arial Black"/>
        </w:rPr>
        <w:t xml:space="preserve"> mars</w:t>
      </w:r>
    </w:p>
    <w:tbl>
      <w:tblPr>
        <w:tblStyle w:val="Grilledutableau"/>
        <w:tblW w:w="5000" w:type="pct"/>
        <w:tblLayout w:type="fixed"/>
        <w:tblLook w:val="04A0"/>
      </w:tblPr>
      <w:tblGrid>
        <w:gridCol w:w="818"/>
        <w:gridCol w:w="1511"/>
        <w:gridCol w:w="2314"/>
        <w:gridCol w:w="8007"/>
        <w:gridCol w:w="1209"/>
        <w:gridCol w:w="1755"/>
      </w:tblGrid>
      <w:tr w:rsidR="004418E8" w:rsidTr="0088139A">
        <w:tc>
          <w:tcPr>
            <w:tcW w:w="262" w:type="pct"/>
            <w:vAlign w:val="center"/>
          </w:tcPr>
          <w:p w:rsidR="004418E8" w:rsidRPr="00CC4A29" w:rsidRDefault="004418E8" w:rsidP="00CC4A29">
            <w:pPr>
              <w:jc w:val="center"/>
              <w:rPr>
                <w:b/>
                <w:sz w:val="18"/>
              </w:rPr>
            </w:pPr>
            <w:r w:rsidRPr="008D3D33">
              <w:rPr>
                <w:b/>
                <w:sz w:val="16"/>
              </w:rPr>
              <w:t>Ordre proposé</w:t>
            </w:r>
          </w:p>
        </w:tc>
        <w:tc>
          <w:tcPr>
            <w:tcW w:w="484" w:type="pct"/>
          </w:tcPr>
          <w:p w:rsidR="004418E8" w:rsidRPr="00106F1E" w:rsidRDefault="004418E8" w:rsidP="00106F1E">
            <w:pPr>
              <w:jc w:val="center"/>
              <w:rPr>
                <w:rFonts w:ascii="Century Gothic" w:hAnsi="Century Gothic"/>
                <w:b/>
                <w:sz w:val="20"/>
              </w:rPr>
            </w:pPr>
            <w:r w:rsidRPr="00106F1E">
              <w:rPr>
                <w:rFonts w:ascii="Century Gothic" w:hAnsi="Century Gothic"/>
                <w:b/>
                <w:sz w:val="20"/>
              </w:rPr>
              <w:t>Matières</w:t>
            </w:r>
          </w:p>
        </w:tc>
        <w:tc>
          <w:tcPr>
            <w:tcW w:w="741" w:type="pct"/>
          </w:tcPr>
          <w:p w:rsidR="004418E8" w:rsidRPr="00CC4A29" w:rsidRDefault="004418E8" w:rsidP="00CC4A29">
            <w:pPr>
              <w:jc w:val="center"/>
              <w:rPr>
                <w:b/>
              </w:rPr>
            </w:pPr>
            <w:r w:rsidRPr="00CC4A29">
              <w:rPr>
                <w:b/>
              </w:rPr>
              <w:t>Compétences travaillées</w:t>
            </w:r>
          </w:p>
        </w:tc>
        <w:tc>
          <w:tcPr>
            <w:tcW w:w="2564" w:type="pct"/>
          </w:tcPr>
          <w:p w:rsidR="004418E8" w:rsidRPr="00CC4A29" w:rsidRDefault="004418E8" w:rsidP="00CC4A29">
            <w:pPr>
              <w:jc w:val="center"/>
              <w:rPr>
                <w:b/>
              </w:rPr>
            </w:pPr>
            <w:r w:rsidRPr="00CC4A29">
              <w:rPr>
                <w:b/>
              </w:rPr>
              <w:t>consignes</w:t>
            </w:r>
          </w:p>
        </w:tc>
        <w:tc>
          <w:tcPr>
            <w:tcW w:w="387" w:type="pct"/>
          </w:tcPr>
          <w:p w:rsidR="004418E8" w:rsidRPr="00CC4A29" w:rsidRDefault="004418E8" w:rsidP="00CC4A29">
            <w:pPr>
              <w:jc w:val="center"/>
              <w:rPr>
                <w:b/>
              </w:rPr>
            </w:pPr>
            <w:r w:rsidRPr="00CC4A29">
              <w:rPr>
                <w:b/>
              </w:rPr>
              <w:t>Estimation du temps</w:t>
            </w:r>
          </w:p>
        </w:tc>
        <w:tc>
          <w:tcPr>
            <w:tcW w:w="562" w:type="pct"/>
          </w:tcPr>
          <w:p w:rsidR="004418E8" w:rsidRPr="00CC4A29" w:rsidRDefault="004418E8" w:rsidP="00CC4A29">
            <w:pPr>
              <w:jc w:val="center"/>
              <w:rPr>
                <w:b/>
              </w:rPr>
            </w:pPr>
            <w:r w:rsidRPr="00CC4A29">
              <w:rPr>
                <w:b/>
              </w:rPr>
              <w:t>Retour ou correction</w:t>
            </w:r>
          </w:p>
        </w:tc>
      </w:tr>
      <w:tr w:rsidR="004418E8" w:rsidTr="0088139A">
        <w:tc>
          <w:tcPr>
            <w:tcW w:w="262" w:type="pct"/>
            <w:vAlign w:val="center"/>
          </w:tcPr>
          <w:p w:rsidR="004418E8" w:rsidRPr="00CC4A29" w:rsidRDefault="004418E8" w:rsidP="00CC4A29">
            <w:pPr>
              <w:jc w:val="center"/>
              <w:rPr>
                <w:sz w:val="28"/>
              </w:rPr>
            </w:pPr>
            <w:r w:rsidRPr="00CC4A29">
              <w:rPr>
                <w:sz w:val="28"/>
              </w:rPr>
              <w:t>1</w:t>
            </w:r>
          </w:p>
        </w:tc>
        <w:tc>
          <w:tcPr>
            <w:tcW w:w="484" w:type="pct"/>
          </w:tcPr>
          <w:p w:rsidR="004418E8" w:rsidRPr="00106F1E" w:rsidRDefault="004418E8" w:rsidP="00106F1E">
            <w:pPr>
              <w:jc w:val="center"/>
              <w:rPr>
                <w:rFonts w:ascii="Century Gothic" w:hAnsi="Century Gothic"/>
                <w:sz w:val="20"/>
              </w:rPr>
            </w:pPr>
            <w:r w:rsidRPr="00106F1E">
              <w:rPr>
                <w:rFonts w:ascii="Century Gothic" w:hAnsi="Century Gothic"/>
                <w:sz w:val="20"/>
              </w:rPr>
              <w:t>Calcul mental</w:t>
            </w:r>
          </w:p>
        </w:tc>
        <w:tc>
          <w:tcPr>
            <w:tcW w:w="741" w:type="pct"/>
          </w:tcPr>
          <w:p w:rsidR="004418E8" w:rsidRDefault="004418E8" w:rsidP="004418E8">
            <w:r>
              <w:t xml:space="preserve">Calculer mentalement </w:t>
            </w:r>
          </w:p>
          <w:p w:rsidR="00076536" w:rsidRDefault="00076536" w:rsidP="004418E8">
            <w:r>
              <w:t>Retrancher 10</w:t>
            </w:r>
          </w:p>
        </w:tc>
        <w:tc>
          <w:tcPr>
            <w:tcW w:w="2564" w:type="pct"/>
          </w:tcPr>
          <w:p w:rsidR="0088139A" w:rsidRDefault="0088139A" w:rsidP="0088139A">
            <w:r>
              <w:t xml:space="preserve">▪Un adulte dicte le calcul </w:t>
            </w:r>
            <w:r w:rsidRPr="00370BC6">
              <w:rPr>
                <w:color w:val="00B050"/>
              </w:rPr>
              <w:t>(voir document d’exercices),</w:t>
            </w:r>
            <w:r>
              <w:t xml:space="preserve"> l’élève écrit sa réponse sur le cahier de brouillon (ou autre support)</w:t>
            </w:r>
          </w:p>
          <w:p w:rsidR="0088139A" w:rsidRDefault="0088139A" w:rsidP="0088139A">
            <w:r>
              <w:t>▪Si pas d’adulte, lire les calculs et y répondre à l’écrit sur son cahier de brouillon.</w:t>
            </w:r>
          </w:p>
          <w:p w:rsidR="004418E8" w:rsidRDefault="0088139A" w:rsidP="0088139A">
            <w:r>
              <w:t>▪Vérification à la fin avec la correction (</w:t>
            </w:r>
            <w:r w:rsidRPr="00370BC6">
              <w:rPr>
                <w:color w:val="7030A0"/>
              </w:rPr>
              <w:t>voir document de correction)</w:t>
            </w:r>
          </w:p>
        </w:tc>
        <w:tc>
          <w:tcPr>
            <w:tcW w:w="387" w:type="pct"/>
          </w:tcPr>
          <w:p w:rsidR="004418E8" w:rsidRDefault="004418E8">
            <w:r>
              <w:t>15 min</w:t>
            </w:r>
          </w:p>
        </w:tc>
        <w:tc>
          <w:tcPr>
            <w:tcW w:w="562" w:type="pct"/>
          </w:tcPr>
          <w:p w:rsidR="004418E8" w:rsidRDefault="004418E8">
            <w:r>
              <w:t>Correction fournie</w:t>
            </w:r>
          </w:p>
        </w:tc>
      </w:tr>
      <w:tr w:rsidR="004418E8" w:rsidTr="0088139A">
        <w:tc>
          <w:tcPr>
            <w:tcW w:w="262" w:type="pct"/>
            <w:vAlign w:val="center"/>
          </w:tcPr>
          <w:p w:rsidR="004418E8" w:rsidRPr="00CC4A29" w:rsidRDefault="004418E8" w:rsidP="00CC4A29">
            <w:pPr>
              <w:jc w:val="center"/>
              <w:rPr>
                <w:sz w:val="28"/>
              </w:rPr>
            </w:pPr>
            <w:r w:rsidRPr="00CC4A29">
              <w:rPr>
                <w:sz w:val="28"/>
              </w:rPr>
              <w:t>2</w:t>
            </w:r>
          </w:p>
        </w:tc>
        <w:tc>
          <w:tcPr>
            <w:tcW w:w="484" w:type="pct"/>
          </w:tcPr>
          <w:p w:rsidR="004418E8" w:rsidRPr="00106F1E" w:rsidRDefault="004418E8" w:rsidP="00106F1E">
            <w:pPr>
              <w:jc w:val="center"/>
              <w:rPr>
                <w:rFonts w:ascii="Century Gothic" w:hAnsi="Century Gothic"/>
                <w:sz w:val="20"/>
              </w:rPr>
            </w:pPr>
            <w:r w:rsidRPr="00106F1E">
              <w:rPr>
                <w:rFonts w:ascii="Century Gothic" w:hAnsi="Century Gothic"/>
                <w:sz w:val="20"/>
              </w:rPr>
              <w:t>Maths</w:t>
            </w:r>
          </w:p>
        </w:tc>
        <w:tc>
          <w:tcPr>
            <w:tcW w:w="741" w:type="pct"/>
          </w:tcPr>
          <w:p w:rsidR="004418E8" w:rsidRDefault="004418E8">
            <w:r>
              <w:t>Lire et écrire nombre jusqu’à 9</w:t>
            </w:r>
            <w:r w:rsidR="008D3D33">
              <w:t> </w:t>
            </w:r>
            <w:r>
              <w:t>999</w:t>
            </w:r>
          </w:p>
        </w:tc>
        <w:tc>
          <w:tcPr>
            <w:tcW w:w="2564" w:type="pct"/>
          </w:tcPr>
          <w:p w:rsidR="008D3D33" w:rsidRDefault="008D3D33" w:rsidP="00076536">
            <w:r>
              <w:t>▪Relire la leçon sur les nombres jusqu‘à 9 999 (cahier bleu : numération)</w:t>
            </w:r>
          </w:p>
          <w:p w:rsidR="004418E8" w:rsidRDefault="008D3D33" w:rsidP="006F0EEE">
            <w:r>
              <w:t>▪</w:t>
            </w:r>
            <w:r w:rsidR="00833611">
              <w:t xml:space="preserve">Exercices </w:t>
            </w:r>
            <w:r w:rsidR="0088139A">
              <w:t>(</w:t>
            </w:r>
            <w:r w:rsidR="0088139A" w:rsidRPr="0088139A">
              <w:rPr>
                <w:color w:val="00B050"/>
              </w:rPr>
              <w:t>voir document d’exercices</w:t>
            </w:r>
            <w:r w:rsidR="0088139A">
              <w:t xml:space="preserve">) </w:t>
            </w:r>
            <w:r w:rsidR="006F0EEE">
              <w:t>à récrire et à faire</w:t>
            </w:r>
            <w:r w:rsidR="00076536">
              <w:t xml:space="preserve"> sur cahier de brouillon. </w:t>
            </w:r>
          </w:p>
        </w:tc>
        <w:tc>
          <w:tcPr>
            <w:tcW w:w="387" w:type="pct"/>
          </w:tcPr>
          <w:p w:rsidR="004418E8" w:rsidRDefault="00833611">
            <w:r>
              <w:t xml:space="preserve">30 min </w:t>
            </w:r>
          </w:p>
        </w:tc>
        <w:tc>
          <w:tcPr>
            <w:tcW w:w="562" w:type="pct"/>
          </w:tcPr>
          <w:p w:rsidR="004418E8" w:rsidRDefault="00833611" w:rsidP="006F0EEE">
            <w:r>
              <w:t xml:space="preserve">Renvoyer le travail par photo </w:t>
            </w:r>
            <w:r w:rsidR="006F0EEE">
              <w:t xml:space="preserve">si vous en avez la possibilité </w:t>
            </w:r>
          </w:p>
        </w:tc>
      </w:tr>
      <w:tr w:rsidR="004418E8" w:rsidTr="0088139A">
        <w:tc>
          <w:tcPr>
            <w:tcW w:w="262" w:type="pct"/>
            <w:vAlign w:val="center"/>
          </w:tcPr>
          <w:p w:rsidR="004418E8" w:rsidRPr="00CC4A29" w:rsidRDefault="00833611" w:rsidP="00CC4A29">
            <w:pPr>
              <w:jc w:val="center"/>
              <w:rPr>
                <w:sz w:val="28"/>
              </w:rPr>
            </w:pPr>
            <w:r w:rsidRPr="00CC4A29">
              <w:rPr>
                <w:sz w:val="28"/>
              </w:rPr>
              <w:t>3</w:t>
            </w:r>
          </w:p>
        </w:tc>
        <w:tc>
          <w:tcPr>
            <w:tcW w:w="484" w:type="pct"/>
          </w:tcPr>
          <w:p w:rsidR="004418E8" w:rsidRPr="00106F1E" w:rsidRDefault="00833611" w:rsidP="00106F1E">
            <w:pPr>
              <w:jc w:val="center"/>
              <w:rPr>
                <w:rFonts w:ascii="Century Gothic" w:hAnsi="Century Gothic"/>
                <w:sz w:val="20"/>
              </w:rPr>
            </w:pPr>
            <w:r w:rsidRPr="00106F1E">
              <w:rPr>
                <w:rFonts w:ascii="Century Gothic" w:hAnsi="Century Gothic"/>
                <w:sz w:val="20"/>
              </w:rPr>
              <w:t>Art visuel</w:t>
            </w:r>
          </w:p>
        </w:tc>
        <w:tc>
          <w:tcPr>
            <w:tcW w:w="741" w:type="pct"/>
          </w:tcPr>
          <w:p w:rsidR="004418E8" w:rsidRDefault="00076536">
            <w:r>
              <w:t xml:space="preserve">Utiliser le compas, </w:t>
            </w:r>
            <w:proofErr w:type="gramStart"/>
            <w:r>
              <w:t>créer</w:t>
            </w:r>
            <w:proofErr w:type="gramEnd"/>
            <w:r>
              <w:t xml:space="preserve">, inventer </w:t>
            </w:r>
          </w:p>
        </w:tc>
        <w:tc>
          <w:tcPr>
            <w:tcW w:w="2564" w:type="pct"/>
          </w:tcPr>
          <w:p w:rsidR="0088139A" w:rsidRDefault="0088139A" w:rsidP="0088139A">
            <w:r>
              <w:t>▪A la manière de Delaunay, (</w:t>
            </w:r>
            <w:r w:rsidRPr="00B45FC0">
              <w:rPr>
                <w:color w:val="00B050"/>
              </w:rPr>
              <w:t>voir documents d’exercices),</w:t>
            </w:r>
            <w:r>
              <w:t xml:space="preserve"> tracer une ligne verticale sur la longueur d’une feuille unie, faire des demis cercles ou des cercles de différentes tailles en utilisant le compas (le centre des demis cercles ou cercles doivent être obligatoirement placés sur la ligne verticale à différents endroits.) </w:t>
            </w:r>
          </w:p>
          <w:p w:rsidR="008D3D33" w:rsidRDefault="0088139A" w:rsidP="0088139A">
            <w:r>
              <w:t>▪colorier ou décorer avec feutres, crayons de couleur, pastels, peintures…. A votre imagination !!</w:t>
            </w:r>
          </w:p>
        </w:tc>
        <w:tc>
          <w:tcPr>
            <w:tcW w:w="387" w:type="pct"/>
          </w:tcPr>
          <w:p w:rsidR="004418E8" w:rsidRDefault="00076536">
            <w:r>
              <w:t>Sur plusieurs jours (20 minutes / jour)</w:t>
            </w:r>
          </w:p>
        </w:tc>
        <w:tc>
          <w:tcPr>
            <w:tcW w:w="562" w:type="pct"/>
          </w:tcPr>
          <w:p w:rsidR="004418E8" w:rsidRDefault="006F0EEE">
            <w:r>
              <w:t xml:space="preserve">Renvoyer une belle photo dans quelques jours si on en a envie et la possibilité </w:t>
            </w:r>
          </w:p>
        </w:tc>
      </w:tr>
      <w:tr w:rsidR="006E784E" w:rsidTr="006E784E">
        <w:tc>
          <w:tcPr>
            <w:tcW w:w="5000" w:type="pct"/>
            <w:gridSpan w:val="6"/>
            <w:vAlign w:val="center"/>
          </w:tcPr>
          <w:p w:rsidR="006E784E" w:rsidRDefault="006E784E" w:rsidP="006E784E">
            <w:pPr>
              <w:jc w:val="center"/>
            </w:pPr>
            <w:r>
              <w:t>TEMPS RECREATIF</w:t>
            </w:r>
          </w:p>
        </w:tc>
      </w:tr>
      <w:tr w:rsidR="004418E8" w:rsidTr="0088139A">
        <w:tc>
          <w:tcPr>
            <w:tcW w:w="262" w:type="pct"/>
            <w:vAlign w:val="center"/>
          </w:tcPr>
          <w:p w:rsidR="004418E8" w:rsidRPr="00CC4A29" w:rsidRDefault="00833611" w:rsidP="00CC4A29">
            <w:pPr>
              <w:jc w:val="center"/>
              <w:rPr>
                <w:sz w:val="28"/>
              </w:rPr>
            </w:pPr>
            <w:r w:rsidRPr="00CC4A29">
              <w:rPr>
                <w:sz w:val="28"/>
              </w:rPr>
              <w:t>4</w:t>
            </w:r>
          </w:p>
        </w:tc>
        <w:tc>
          <w:tcPr>
            <w:tcW w:w="484" w:type="pct"/>
          </w:tcPr>
          <w:p w:rsidR="004418E8" w:rsidRPr="00106F1E" w:rsidRDefault="00833611" w:rsidP="00106F1E">
            <w:pPr>
              <w:jc w:val="center"/>
              <w:rPr>
                <w:rFonts w:ascii="Century Gothic" w:hAnsi="Century Gothic"/>
                <w:sz w:val="20"/>
              </w:rPr>
            </w:pPr>
            <w:r w:rsidRPr="00106F1E">
              <w:rPr>
                <w:rFonts w:ascii="Century Gothic" w:hAnsi="Century Gothic"/>
                <w:sz w:val="20"/>
              </w:rPr>
              <w:t>Français</w:t>
            </w:r>
          </w:p>
        </w:tc>
        <w:tc>
          <w:tcPr>
            <w:tcW w:w="741" w:type="pct"/>
          </w:tcPr>
          <w:p w:rsidR="004418E8" w:rsidRDefault="00633956">
            <w:r>
              <w:t xml:space="preserve">Le présent </w:t>
            </w:r>
          </w:p>
        </w:tc>
        <w:tc>
          <w:tcPr>
            <w:tcW w:w="2564" w:type="pct"/>
          </w:tcPr>
          <w:p w:rsidR="00076536" w:rsidRDefault="00076536">
            <w:r>
              <w:t>Revoir sa leçon sur le présent (cahier bleu</w:t>
            </w:r>
            <w:r w:rsidR="008D3D33">
              <w:t> : conjugaison</w:t>
            </w:r>
            <w:r>
              <w:t>)</w:t>
            </w:r>
          </w:p>
          <w:p w:rsidR="004418E8" w:rsidRDefault="00633956">
            <w:r>
              <w:t xml:space="preserve">Cliquer sur le lien suivant : </w:t>
            </w:r>
            <w:hyperlink r:id="rId4" w:history="1">
              <w:r>
                <w:rPr>
                  <w:rStyle w:val="Lienhypertexte"/>
                </w:rPr>
                <w:t>https://www.logicieleducatif.fr/francais/conjugaison_grammaire/conjugojunior2.php</w:t>
              </w:r>
            </w:hyperlink>
          </w:p>
          <w:p w:rsidR="00633956" w:rsidRDefault="00633956" w:rsidP="00633956">
            <w:r>
              <w:t xml:space="preserve">Conjuguer les verbes au présent </w:t>
            </w:r>
          </w:p>
          <w:p w:rsidR="00633956" w:rsidRDefault="00633956"/>
        </w:tc>
        <w:tc>
          <w:tcPr>
            <w:tcW w:w="387" w:type="pct"/>
          </w:tcPr>
          <w:p w:rsidR="004418E8" w:rsidRDefault="00076536">
            <w:r>
              <w:t>20-30 minutes</w:t>
            </w:r>
          </w:p>
        </w:tc>
        <w:tc>
          <w:tcPr>
            <w:tcW w:w="562" w:type="pct"/>
          </w:tcPr>
          <w:p w:rsidR="004418E8" w:rsidRDefault="004418E8"/>
        </w:tc>
      </w:tr>
      <w:tr w:rsidR="004269E4" w:rsidTr="0088139A">
        <w:tc>
          <w:tcPr>
            <w:tcW w:w="262" w:type="pct"/>
            <w:vAlign w:val="center"/>
          </w:tcPr>
          <w:p w:rsidR="004269E4" w:rsidRPr="00CC4A29" w:rsidRDefault="004269E4" w:rsidP="00CC4A29">
            <w:pPr>
              <w:jc w:val="center"/>
              <w:rPr>
                <w:sz w:val="28"/>
              </w:rPr>
            </w:pPr>
            <w:r w:rsidRPr="00CC4A29">
              <w:rPr>
                <w:sz w:val="28"/>
              </w:rPr>
              <w:t>5</w:t>
            </w:r>
          </w:p>
        </w:tc>
        <w:tc>
          <w:tcPr>
            <w:tcW w:w="484" w:type="pct"/>
          </w:tcPr>
          <w:p w:rsidR="004269E4" w:rsidRPr="00106F1E" w:rsidRDefault="004269E4" w:rsidP="00B90F62">
            <w:pPr>
              <w:jc w:val="center"/>
              <w:rPr>
                <w:rFonts w:ascii="Century Gothic" w:hAnsi="Century Gothic"/>
                <w:sz w:val="20"/>
              </w:rPr>
            </w:pPr>
            <w:r w:rsidRPr="00106F1E">
              <w:rPr>
                <w:rFonts w:ascii="Century Gothic" w:hAnsi="Century Gothic"/>
                <w:sz w:val="20"/>
              </w:rPr>
              <w:t>Orthographe</w:t>
            </w:r>
          </w:p>
        </w:tc>
        <w:tc>
          <w:tcPr>
            <w:tcW w:w="741" w:type="pct"/>
          </w:tcPr>
          <w:p w:rsidR="004269E4" w:rsidRDefault="004269E4" w:rsidP="00B90F62">
            <w:r>
              <w:t xml:space="preserve">Savoir orthographier des mots </w:t>
            </w:r>
          </w:p>
        </w:tc>
        <w:tc>
          <w:tcPr>
            <w:tcW w:w="2564" w:type="pct"/>
          </w:tcPr>
          <w:p w:rsidR="0088139A" w:rsidRPr="00B45FC0" w:rsidRDefault="004269E4" w:rsidP="0088139A">
            <w:pPr>
              <w:rPr>
                <w:color w:val="00B050"/>
              </w:rPr>
            </w:pPr>
            <w:r>
              <w:t>Travailler 4 mots de la semain</w:t>
            </w:r>
            <w:r w:rsidR="0088139A">
              <w:t>e 21 avec la méthode de classe (</w:t>
            </w:r>
            <w:r w:rsidR="0088139A" w:rsidRPr="00B45FC0">
              <w:rPr>
                <w:color w:val="00B050"/>
              </w:rPr>
              <w:t>voir document d’exercices pour la méthode du poster orange)</w:t>
            </w:r>
          </w:p>
          <w:p w:rsidR="004269E4" w:rsidRDefault="004269E4" w:rsidP="00B90F62">
            <w:r>
              <w:t>Exercices 1-2 de la semaine 21 (rangés dans le porte-vue d’orthographe)</w:t>
            </w:r>
          </w:p>
        </w:tc>
        <w:tc>
          <w:tcPr>
            <w:tcW w:w="387" w:type="pct"/>
          </w:tcPr>
          <w:p w:rsidR="004269E4" w:rsidRDefault="006F0EEE" w:rsidP="00B90F62">
            <w:r>
              <w:t>4</w:t>
            </w:r>
            <w:r w:rsidR="004269E4">
              <w:t xml:space="preserve">0 min </w:t>
            </w:r>
          </w:p>
        </w:tc>
        <w:tc>
          <w:tcPr>
            <w:tcW w:w="562" w:type="pct"/>
          </w:tcPr>
          <w:p w:rsidR="004269E4" w:rsidRDefault="004269E4" w:rsidP="00B90F62"/>
        </w:tc>
      </w:tr>
      <w:tr w:rsidR="004418E8" w:rsidTr="0088139A">
        <w:tc>
          <w:tcPr>
            <w:tcW w:w="262" w:type="pct"/>
            <w:vAlign w:val="center"/>
          </w:tcPr>
          <w:p w:rsidR="004418E8" w:rsidRPr="00CC4A29" w:rsidRDefault="004269E4" w:rsidP="00CC4A29">
            <w:pPr>
              <w:jc w:val="center"/>
              <w:rPr>
                <w:sz w:val="28"/>
              </w:rPr>
            </w:pPr>
            <w:r>
              <w:rPr>
                <w:sz w:val="28"/>
              </w:rPr>
              <w:t>6</w:t>
            </w:r>
          </w:p>
        </w:tc>
        <w:tc>
          <w:tcPr>
            <w:tcW w:w="484" w:type="pct"/>
          </w:tcPr>
          <w:p w:rsidR="004418E8" w:rsidRPr="00106F1E" w:rsidRDefault="00833611" w:rsidP="00106F1E">
            <w:pPr>
              <w:jc w:val="center"/>
              <w:rPr>
                <w:rFonts w:ascii="Century Gothic" w:hAnsi="Century Gothic"/>
                <w:sz w:val="20"/>
              </w:rPr>
            </w:pPr>
            <w:r w:rsidRPr="00106F1E">
              <w:rPr>
                <w:rFonts w:ascii="Century Gothic" w:hAnsi="Century Gothic"/>
                <w:sz w:val="20"/>
              </w:rPr>
              <w:t>Musique</w:t>
            </w:r>
          </w:p>
        </w:tc>
        <w:tc>
          <w:tcPr>
            <w:tcW w:w="741" w:type="pct"/>
          </w:tcPr>
          <w:p w:rsidR="004418E8" w:rsidRDefault="00833611">
            <w:r>
              <w:t xml:space="preserve">Ecouter </w:t>
            </w:r>
          </w:p>
        </w:tc>
        <w:tc>
          <w:tcPr>
            <w:tcW w:w="2564" w:type="pct"/>
          </w:tcPr>
          <w:p w:rsidR="006F0EEE" w:rsidRDefault="00833611">
            <w:r>
              <w:t xml:space="preserve">Cliquer sur le lien suivant : </w:t>
            </w:r>
            <w:hyperlink r:id="rId5" w:history="1">
              <w:r w:rsidR="00001603">
                <w:rPr>
                  <w:rStyle w:val="Lienhypertexte"/>
                </w:rPr>
                <w:t>https://www.youtube.com/watch?v=JL3bqL8x4hY</w:t>
              </w:r>
            </w:hyperlink>
          </w:p>
          <w:p w:rsidR="004418E8" w:rsidRDefault="006F0EEE">
            <w:r>
              <w:t>▪</w:t>
            </w:r>
            <w:r w:rsidR="00833611">
              <w:t>écouter, dire ce qu’on ressent, ce qu’on entend, ce qu’on comprend</w:t>
            </w:r>
            <w:r>
              <w:t xml:space="preserve"> </w:t>
            </w:r>
          </w:p>
        </w:tc>
        <w:tc>
          <w:tcPr>
            <w:tcW w:w="387" w:type="pct"/>
          </w:tcPr>
          <w:p w:rsidR="004418E8" w:rsidRDefault="00833611">
            <w:r>
              <w:t>10 min</w:t>
            </w:r>
          </w:p>
        </w:tc>
        <w:tc>
          <w:tcPr>
            <w:tcW w:w="562" w:type="pct"/>
          </w:tcPr>
          <w:p w:rsidR="004418E8" w:rsidRDefault="004418E8"/>
        </w:tc>
      </w:tr>
      <w:tr w:rsidR="006E784E" w:rsidTr="006E784E">
        <w:tc>
          <w:tcPr>
            <w:tcW w:w="5000" w:type="pct"/>
            <w:gridSpan w:val="6"/>
            <w:vAlign w:val="center"/>
          </w:tcPr>
          <w:p w:rsidR="006E784E" w:rsidRDefault="006E784E" w:rsidP="006E784E">
            <w:pPr>
              <w:jc w:val="center"/>
            </w:pPr>
            <w:r>
              <w:t>TEMPS RECREATIF</w:t>
            </w:r>
          </w:p>
        </w:tc>
      </w:tr>
      <w:tr w:rsidR="004418E8" w:rsidTr="0088139A">
        <w:tc>
          <w:tcPr>
            <w:tcW w:w="262" w:type="pct"/>
            <w:vAlign w:val="center"/>
          </w:tcPr>
          <w:p w:rsidR="004418E8" w:rsidRPr="00CC4A29" w:rsidRDefault="00B33057" w:rsidP="00CC4A29">
            <w:pPr>
              <w:jc w:val="center"/>
              <w:rPr>
                <w:sz w:val="28"/>
              </w:rPr>
            </w:pPr>
            <w:r w:rsidRPr="00CC4A29">
              <w:rPr>
                <w:sz w:val="28"/>
              </w:rPr>
              <w:t>7</w:t>
            </w:r>
          </w:p>
        </w:tc>
        <w:tc>
          <w:tcPr>
            <w:tcW w:w="484" w:type="pct"/>
          </w:tcPr>
          <w:p w:rsidR="004418E8" w:rsidRPr="00106F1E" w:rsidRDefault="00B33057" w:rsidP="00106F1E">
            <w:pPr>
              <w:jc w:val="center"/>
              <w:rPr>
                <w:rFonts w:ascii="Century Gothic" w:hAnsi="Century Gothic"/>
                <w:sz w:val="20"/>
              </w:rPr>
            </w:pPr>
            <w:r w:rsidRPr="00106F1E">
              <w:rPr>
                <w:rFonts w:ascii="Century Gothic" w:hAnsi="Century Gothic"/>
                <w:sz w:val="20"/>
              </w:rPr>
              <w:t>Lecture</w:t>
            </w:r>
          </w:p>
        </w:tc>
        <w:tc>
          <w:tcPr>
            <w:tcW w:w="741" w:type="pct"/>
          </w:tcPr>
          <w:p w:rsidR="004418E8" w:rsidRDefault="00B33057">
            <w:r>
              <w:t xml:space="preserve">Lire </w:t>
            </w:r>
          </w:p>
        </w:tc>
        <w:tc>
          <w:tcPr>
            <w:tcW w:w="2564" w:type="pct"/>
          </w:tcPr>
          <w:p w:rsidR="004418E8" w:rsidRDefault="0088139A">
            <w:r>
              <w:t>▪</w:t>
            </w:r>
            <w:r w:rsidR="00B33057">
              <w:t>Lire les chapitres 1-2</w:t>
            </w:r>
            <w:r w:rsidR="00CC4A29">
              <w:t xml:space="preserve"> des fantômes de Belleville</w:t>
            </w:r>
          </w:p>
          <w:p w:rsidR="00B33057" w:rsidRDefault="00B33057">
            <w:r>
              <w:t>Répondre aux questions</w:t>
            </w:r>
            <w:r w:rsidR="005D583A">
              <w:t> : finir question chapitre 1 +faire questions chapitre2</w:t>
            </w:r>
            <w:r>
              <w:t xml:space="preserve"> (questionnaire</w:t>
            </w:r>
            <w:r w:rsidR="005D583A">
              <w:t>s</w:t>
            </w:r>
            <w:r>
              <w:t xml:space="preserve"> collé</w:t>
            </w:r>
            <w:r w:rsidR="005D583A">
              <w:t>s</w:t>
            </w:r>
            <w:r>
              <w:t xml:space="preserve"> dans le cahier de littérature) </w:t>
            </w:r>
          </w:p>
          <w:p w:rsidR="0088139A" w:rsidRDefault="0088139A"/>
        </w:tc>
        <w:tc>
          <w:tcPr>
            <w:tcW w:w="387" w:type="pct"/>
          </w:tcPr>
          <w:p w:rsidR="004418E8" w:rsidRDefault="00B33057">
            <w:r>
              <w:t>30 min</w:t>
            </w:r>
          </w:p>
        </w:tc>
        <w:tc>
          <w:tcPr>
            <w:tcW w:w="562" w:type="pct"/>
          </w:tcPr>
          <w:p w:rsidR="004418E8" w:rsidRDefault="004418E8"/>
        </w:tc>
      </w:tr>
      <w:tr w:rsidR="00B33057" w:rsidTr="0088139A">
        <w:tc>
          <w:tcPr>
            <w:tcW w:w="262" w:type="pct"/>
            <w:vAlign w:val="center"/>
          </w:tcPr>
          <w:p w:rsidR="00B33057" w:rsidRPr="00CC4A29" w:rsidRDefault="00B33057" w:rsidP="00CC4A29">
            <w:pPr>
              <w:jc w:val="center"/>
              <w:rPr>
                <w:sz w:val="28"/>
              </w:rPr>
            </w:pPr>
            <w:r w:rsidRPr="00CC4A29">
              <w:rPr>
                <w:sz w:val="28"/>
              </w:rPr>
              <w:t>8</w:t>
            </w:r>
          </w:p>
        </w:tc>
        <w:tc>
          <w:tcPr>
            <w:tcW w:w="484" w:type="pct"/>
          </w:tcPr>
          <w:p w:rsidR="00B33057" w:rsidRPr="00106F1E" w:rsidRDefault="00B33057" w:rsidP="00106F1E">
            <w:pPr>
              <w:jc w:val="center"/>
              <w:rPr>
                <w:rFonts w:ascii="Century Gothic" w:hAnsi="Century Gothic"/>
                <w:sz w:val="20"/>
              </w:rPr>
            </w:pPr>
            <w:r w:rsidRPr="00106F1E">
              <w:rPr>
                <w:rFonts w:ascii="Century Gothic" w:hAnsi="Century Gothic"/>
                <w:sz w:val="20"/>
              </w:rPr>
              <w:t>Histoire</w:t>
            </w:r>
          </w:p>
        </w:tc>
        <w:tc>
          <w:tcPr>
            <w:tcW w:w="741" w:type="pct"/>
          </w:tcPr>
          <w:p w:rsidR="00B33057" w:rsidRDefault="005D583A">
            <w:r>
              <w:t xml:space="preserve">Les transports à travers les époques </w:t>
            </w:r>
          </w:p>
        </w:tc>
        <w:tc>
          <w:tcPr>
            <w:tcW w:w="2564" w:type="pct"/>
          </w:tcPr>
          <w:p w:rsidR="00B33057" w:rsidRDefault="005D583A">
            <w:r>
              <w:t>Apprendre la leçon</w:t>
            </w:r>
            <w:r w:rsidR="004269E4">
              <w:t xml:space="preserve"> : les transports à l’époque contemporaine. </w:t>
            </w:r>
          </w:p>
          <w:p w:rsidR="00CC4A29" w:rsidRDefault="00CC4A29">
            <w:r>
              <w:t>Regarder les documentaires sur les pr</w:t>
            </w:r>
            <w:r w:rsidR="006F0EEE">
              <w:t xml:space="preserve">emiers vélos et premiers avions en cliquant sur </w:t>
            </w:r>
            <w:r w:rsidR="006F0EEE">
              <w:lastRenderedPageBreak/>
              <w:t xml:space="preserve">ces liens : </w:t>
            </w:r>
          </w:p>
          <w:p w:rsidR="005D583A" w:rsidRDefault="005D583A">
            <w:r>
              <w:t xml:space="preserve">Evolution u vélo : </w:t>
            </w:r>
            <w:hyperlink r:id="rId6" w:history="1">
              <w:r>
                <w:rPr>
                  <w:rStyle w:val="Lienhypertexte"/>
                </w:rPr>
                <w:t>https://www.youtube.com/watch?v=luIKOa311Oo</w:t>
              </w:r>
            </w:hyperlink>
          </w:p>
          <w:p w:rsidR="005D583A" w:rsidRDefault="005D583A">
            <w:r>
              <w:t xml:space="preserve">Evolution de l’avion : </w:t>
            </w:r>
            <w:hyperlink r:id="rId7" w:history="1">
              <w:r w:rsidR="00CC4A29">
                <w:rPr>
                  <w:rStyle w:val="Lienhypertexte"/>
                </w:rPr>
                <w:t>https://www.youtube.com/watch?v=4ASXvR_Goxw</w:t>
              </w:r>
            </w:hyperlink>
          </w:p>
        </w:tc>
        <w:tc>
          <w:tcPr>
            <w:tcW w:w="387" w:type="pct"/>
          </w:tcPr>
          <w:p w:rsidR="00B33057" w:rsidRDefault="00CC4A29">
            <w:r>
              <w:lastRenderedPageBreak/>
              <w:t xml:space="preserve">30 minutes </w:t>
            </w:r>
          </w:p>
        </w:tc>
        <w:tc>
          <w:tcPr>
            <w:tcW w:w="562" w:type="pct"/>
          </w:tcPr>
          <w:p w:rsidR="00B33057" w:rsidRDefault="00B33057"/>
        </w:tc>
      </w:tr>
    </w:tbl>
    <w:p w:rsidR="004418E8" w:rsidRDefault="004418E8" w:rsidP="00C205B0"/>
    <w:sectPr w:rsidR="004418E8" w:rsidSect="004418E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22BD8"/>
    <w:rsid w:val="00001603"/>
    <w:rsid w:val="00076536"/>
    <w:rsid w:val="00106F1E"/>
    <w:rsid w:val="00175F53"/>
    <w:rsid w:val="00222BD8"/>
    <w:rsid w:val="004269E4"/>
    <w:rsid w:val="004418E8"/>
    <w:rsid w:val="005D583A"/>
    <w:rsid w:val="00633956"/>
    <w:rsid w:val="006E784E"/>
    <w:rsid w:val="006F0EEE"/>
    <w:rsid w:val="00833611"/>
    <w:rsid w:val="0084341D"/>
    <w:rsid w:val="0088139A"/>
    <w:rsid w:val="008D3D33"/>
    <w:rsid w:val="008F1636"/>
    <w:rsid w:val="00B274E5"/>
    <w:rsid w:val="00B33057"/>
    <w:rsid w:val="00C205B0"/>
    <w:rsid w:val="00CC4A29"/>
    <w:rsid w:val="00D878E7"/>
    <w:rsid w:val="00E46E2D"/>
    <w:rsid w:val="00E57A07"/>
    <w:rsid w:val="00E8554E"/>
    <w:rsid w:val="00F715A4"/>
    <w:rsid w:val="00FE4D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18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633956"/>
    <w:rPr>
      <w:color w:val="0000FF"/>
      <w:u w:val="single"/>
    </w:rPr>
  </w:style>
  <w:style w:type="character" w:styleId="Lienhypertextesuivivisit">
    <w:name w:val="FollowedHyperlink"/>
    <w:basedOn w:val="Policepardfaut"/>
    <w:uiPriority w:val="99"/>
    <w:semiHidden/>
    <w:unhideWhenUsed/>
    <w:rsid w:val="006339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4ASXvR_Gox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uIKOa311Oo" TargetMode="External"/><Relationship Id="rId5" Type="http://schemas.openxmlformats.org/officeDocument/2006/relationships/hyperlink" Target="https://www.youtube.com/watch?v=JL3bqL8x4hY" TargetMode="External"/><Relationship Id="rId4" Type="http://schemas.openxmlformats.org/officeDocument/2006/relationships/hyperlink" Target="https://www.logicieleducatif.fr/francais/conjugaison_grammaire/conjugojunior2.php"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aurelie.gallon@outlook.fr</dc:creator>
  <cp:keywords/>
  <dc:description/>
  <cp:lastModifiedBy>aurelie.gallon@outlook.fr</cp:lastModifiedBy>
  <cp:revision>10</cp:revision>
  <dcterms:created xsi:type="dcterms:W3CDTF">2020-03-16T14:12:00Z</dcterms:created>
  <dcterms:modified xsi:type="dcterms:W3CDTF">2020-03-18T16:38:00Z</dcterms:modified>
</cp:coreProperties>
</file>